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42" w:rsidRPr="00186539" w:rsidRDefault="00AA5342" w:rsidP="00B1771E">
      <w:pPr>
        <w:rPr>
          <w:rFonts w:asciiTheme="majorBidi" w:hAnsiTheme="majorBidi" w:cstheme="majorBidi"/>
          <w:i/>
          <w:iCs/>
          <w:sz w:val="26"/>
          <w:szCs w:val="26"/>
        </w:rPr>
      </w:pPr>
      <w:r w:rsidRPr="00186539">
        <w:rPr>
          <w:rFonts w:asciiTheme="majorBidi" w:hAnsiTheme="majorBidi" w:cstheme="majorBidi"/>
          <w:i/>
          <w:iCs/>
          <w:sz w:val="26"/>
          <w:szCs w:val="26"/>
        </w:rPr>
        <w:t>Call for Tender for a Conference Director</w:t>
      </w:r>
    </w:p>
    <w:p w:rsidR="00AA5342" w:rsidRPr="00186539" w:rsidRDefault="00AA5342" w:rsidP="00B1771E">
      <w:pPr>
        <w:rPr>
          <w:rFonts w:asciiTheme="majorBidi" w:hAnsiTheme="majorBidi" w:cstheme="majorBidi"/>
          <w:sz w:val="24"/>
          <w:szCs w:val="24"/>
        </w:rPr>
      </w:pPr>
      <w:r w:rsidRPr="00186539">
        <w:rPr>
          <w:rFonts w:asciiTheme="majorBidi" w:hAnsiTheme="majorBidi" w:cstheme="majorBidi"/>
          <w:sz w:val="24"/>
          <w:szCs w:val="24"/>
        </w:rPr>
        <w:t xml:space="preserve">Regional Conference: </w:t>
      </w:r>
      <w:r w:rsidR="00F3536C">
        <w:rPr>
          <w:rFonts w:asciiTheme="majorBidi" w:hAnsiTheme="majorBidi" w:cstheme="majorBidi"/>
          <w:sz w:val="24"/>
          <w:szCs w:val="24"/>
        </w:rPr>
        <w:t xml:space="preserve">Building Culture </w:t>
      </w:r>
      <w:r w:rsidR="00F3536C" w:rsidRPr="00186539">
        <w:rPr>
          <w:rFonts w:asciiTheme="majorBidi" w:hAnsiTheme="majorBidi" w:cstheme="majorBidi"/>
          <w:sz w:val="24"/>
          <w:szCs w:val="24"/>
        </w:rPr>
        <w:t>of</w:t>
      </w:r>
      <w:r w:rsidR="00F3536C">
        <w:rPr>
          <w:rFonts w:asciiTheme="majorBidi" w:hAnsiTheme="majorBidi" w:cstheme="majorBidi"/>
          <w:sz w:val="24"/>
          <w:szCs w:val="24"/>
        </w:rPr>
        <w:t xml:space="preserve"> Quality Assurance in the MENA</w:t>
      </w:r>
      <w:r w:rsidRPr="00186539">
        <w:rPr>
          <w:rFonts w:asciiTheme="majorBidi" w:hAnsiTheme="majorBidi" w:cstheme="majorBidi"/>
          <w:sz w:val="24"/>
          <w:szCs w:val="24"/>
        </w:rPr>
        <w:t xml:space="preserve"> Region</w:t>
      </w:r>
    </w:p>
    <w:p w:rsidR="00AA5342" w:rsidRPr="00C44FA6" w:rsidRDefault="00AA5342" w:rsidP="00B1771E">
      <w:pPr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Rabat, 8</w:t>
      </w:r>
      <w:r w:rsidRPr="00C44FA6">
        <w:rPr>
          <w:rFonts w:asciiTheme="majorBidi" w:hAnsiTheme="majorBidi" w:cstheme="majorBidi"/>
          <w:vertAlign w:val="superscript"/>
        </w:rPr>
        <w:t>th</w:t>
      </w:r>
      <w:r w:rsidRPr="00C44FA6">
        <w:rPr>
          <w:rFonts w:asciiTheme="majorBidi" w:hAnsiTheme="majorBidi" w:cstheme="majorBidi"/>
        </w:rPr>
        <w:t xml:space="preserve"> – 9</w:t>
      </w:r>
      <w:r w:rsidRPr="00C44FA6">
        <w:rPr>
          <w:rFonts w:asciiTheme="majorBidi" w:hAnsiTheme="majorBidi" w:cstheme="majorBidi"/>
          <w:vertAlign w:val="superscript"/>
        </w:rPr>
        <w:t>th</w:t>
      </w:r>
      <w:r w:rsidRPr="00C44FA6">
        <w:rPr>
          <w:rFonts w:asciiTheme="majorBidi" w:hAnsiTheme="majorBidi" w:cstheme="majorBidi"/>
        </w:rPr>
        <w:t xml:space="preserve"> March 2016</w:t>
      </w:r>
    </w:p>
    <w:p w:rsidR="00AA5342" w:rsidRPr="00C44FA6" w:rsidRDefault="00AA5342" w:rsidP="00B1771E">
      <w:pPr>
        <w:rPr>
          <w:rFonts w:asciiTheme="majorBidi" w:hAnsiTheme="majorBidi" w:cstheme="majorBidi"/>
        </w:rPr>
      </w:pPr>
    </w:p>
    <w:p w:rsidR="006B143A" w:rsidRPr="00C44FA6" w:rsidRDefault="00245DD3" w:rsidP="00B1771E">
      <w:pPr>
        <w:rPr>
          <w:rFonts w:asciiTheme="majorBidi" w:hAnsiTheme="majorBidi" w:cstheme="majorBidi"/>
          <w:b/>
          <w:bCs/>
        </w:rPr>
      </w:pPr>
      <w:r w:rsidRPr="00C44FA6">
        <w:rPr>
          <w:rFonts w:asciiTheme="majorBidi" w:hAnsiTheme="majorBidi" w:cstheme="majorBidi"/>
          <w:b/>
          <w:bCs/>
        </w:rPr>
        <w:t>Context</w:t>
      </w:r>
    </w:p>
    <w:p w:rsidR="006B143A" w:rsidRPr="00C44FA6" w:rsidRDefault="006B143A" w:rsidP="00B1771E">
      <w:p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Like many countries in the MENA region, Morocco faces several challenges</w:t>
      </w:r>
      <w:r w:rsidR="00245DD3"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with Higher Education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. Morocco is aware of these challenges and they are also</w:t>
      </w:r>
      <w:r w:rsidR="008457B8"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widely</w:t>
      </w:r>
      <w:r w:rsidRPr="00C44FA6">
        <w:rPr>
          <w:rFonts w:asciiTheme="majorBidi" w:eastAsia="Times New Roman" w:hAnsiTheme="majorBidi" w:cstheme="majorBidi"/>
          <w:color w:val="222222"/>
          <w:lang w:eastAsia="en-GB"/>
        </w:rPr>
        <w:t xml:space="preserve"> </w:t>
      </w:r>
      <w:r w:rsidR="00625DA2" w:rsidRPr="00C44FA6">
        <w:rPr>
          <w:rFonts w:asciiTheme="majorBidi" w:eastAsia="Times New Roman" w:hAnsiTheme="majorBidi" w:cstheme="majorBidi"/>
          <w:color w:val="222222"/>
          <w:lang w:eastAsia="en-GB"/>
        </w:rPr>
        <w:t>recognis</w:t>
      </w:r>
      <w:r w:rsidR="008457B8" w:rsidRPr="00C44FA6">
        <w:rPr>
          <w:rFonts w:asciiTheme="majorBidi" w:eastAsia="Times New Roman" w:hAnsiTheme="majorBidi" w:cstheme="majorBidi"/>
          <w:color w:val="222222"/>
          <w:lang w:eastAsia="en-GB"/>
        </w:rPr>
        <w:t>ed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</w:t>
      </w:r>
      <w:r w:rsidR="00625DA2"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by 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many international</w:t>
      </w:r>
      <w:r w:rsidRPr="00C44FA6">
        <w:rPr>
          <w:rFonts w:asciiTheme="majorBidi" w:eastAsia="Times New Roman" w:hAnsiTheme="majorBidi" w:cstheme="majorBidi"/>
          <w:color w:val="222222"/>
          <w:lang w:eastAsia="en-GB"/>
        </w:rPr>
        <w:t xml:space="preserve"> organisations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that support education reforms in the MENA region such as the World Bank, EU, African Development Bank and ISESCO</w:t>
      </w:r>
      <w:r w:rsidR="008457B8" w:rsidRPr="00C44FA6">
        <w:rPr>
          <w:rFonts w:asciiTheme="majorBidi" w:eastAsia="Times New Roman" w:hAnsiTheme="majorBidi" w:cstheme="majorBidi"/>
          <w:color w:val="222222"/>
          <w:lang w:val="en" w:eastAsia="en-GB"/>
        </w:rPr>
        <w:t>.</w:t>
      </w:r>
    </w:p>
    <w:p w:rsidR="00245DD3" w:rsidRPr="00C44FA6" w:rsidRDefault="006B143A" w:rsidP="00B1771E">
      <w:p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The key challenges are linked to</w:t>
      </w:r>
      <w:r w:rsidR="00245DD3" w:rsidRPr="00C44FA6">
        <w:rPr>
          <w:rFonts w:asciiTheme="majorBidi" w:eastAsia="Times New Roman" w:hAnsiTheme="majorBidi" w:cstheme="majorBidi"/>
          <w:color w:val="222222"/>
          <w:lang w:val="en" w:eastAsia="en-GB"/>
        </w:rPr>
        <w:t>;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</w:t>
      </w:r>
    </w:p>
    <w:p w:rsidR="00245DD3" w:rsidRPr="00C44FA6" w:rsidRDefault="00245DD3" w:rsidP="00B1771E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Demographic transition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</w:t>
      </w:r>
    </w:p>
    <w:p w:rsidR="00245DD3" w:rsidRPr="00C44FA6" w:rsidRDefault="00245DD3" w:rsidP="00B1771E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Higher education funding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 xml:space="preserve"> </w:t>
      </w:r>
    </w:p>
    <w:p w:rsidR="000A692A" w:rsidRPr="00C44FA6" w:rsidRDefault="00245DD3" w:rsidP="00B1771E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G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>aps between academic qualif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ications and labor market needs</w:t>
      </w:r>
    </w:p>
    <w:p w:rsidR="000A692A" w:rsidRPr="00C44FA6" w:rsidRDefault="000A692A" w:rsidP="00B1771E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E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>stablishing an effective national syste</w:t>
      </w:r>
      <w:r w:rsidR="00245DD3" w:rsidRPr="00C44FA6">
        <w:rPr>
          <w:rFonts w:asciiTheme="majorBidi" w:eastAsia="Times New Roman" w:hAnsiTheme="majorBidi" w:cstheme="majorBidi"/>
          <w:color w:val="222222"/>
          <w:lang w:val="en" w:eastAsia="en-GB"/>
        </w:rPr>
        <w:t>m of research and innovation</w:t>
      </w:r>
    </w:p>
    <w:p w:rsidR="00C44FA6" w:rsidRPr="00B1771E" w:rsidRDefault="000A692A" w:rsidP="00B1771E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color w:val="222222"/>
          <w:lang w:val="en" w:eastAsia="en-GB"/>
        </w:rPr>
      </w:pP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T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>he quality of skills and qualif</w:t>
      </w:r>
      <w:r w:rsidRPr="00C44FA6">
        <w:rPr>
          <w:rFonts w:asciiTheme="majorBidi" w:eastAsia="Times New Roman" w:hAnsiTheme="majorBidi" w:cstheme="majorBidi"/>
          <w:color w:val="222222"/>
          <w:lang w:val="en" w:eastAsia="en-GB"/>
        </w:rPr>
        <w:t>ications of students in Higher E</w:t>
      </w:r>
      <w:r w:rsidR="006B143A" w:rsidRPr="00C44FA6">
        <w:rPr>
          <w:rFonts w:asciiTheme="majorBidi" w:eastAsia="Times New Roman" w:hAnsiTheme="majorBidi" w:cstheme="majorBidi"/>
          <w:color w:val="222222"/>
          <w:lang w:val="en" w:eastAsia="en-GB"/>
        </w:rPr>
        <w:t>ducation institutions as a last phase of studies be</w:t>
      </w:r>
      <w:r w:rsidR="00607A8A">
        <w:rPr>
          <w:rFonts w:asciiTheme="majorBidi" w:eastAsia="Times New Roman" w:hAnsiTheme="majorBidi" w:cstheme="majorBidi"/>
          <w:color w:val="222222"/>
          <w:lang w:val="en" w:eastAsia="en-GB"/>
        </w:rPr>
        <w:t>fore integrating the job market</w:t>
      </w:r>
    </w:p>
    <w:p w:rsidR="00A31981" w:rsidRPr="00607A8A" w:rsidRDefault="00C44FA6" w:rsidP="00B1771E">
      <w:pPr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The British Council ran Quality Assurance training workshops from the 2</w:t>
      </w:r>
      <w:r w:rsidRPr="00C44FA6">
        <w:rPr>
          <w:rFonts w:asciiTheme="majorBidi" w:hAnsiTheme="majorBidi" w:cstheme="majorBidi"/>
          <w:vertAlign w:val="superscript"/>
        </w:rPr>
        <w:t>nd</w:t>
      </w:r>
      <w:r w:rsidRPr="00C44FA6">
        <w:rPr>
          <w:rFonts w:asciiTheme="majorBidi" w:hAnsiTheme="majorBidi" w:cstheme="majorBidi"/>
        </w:rPr>
        <w:t>-4</w:t>
      </w:r>
      <w:r w:rsidRPr="00C44FA6">
        <w:rPr>
          <w:rFonts w:asciiTheme="majorBidi" w:hAnsiTheme="majorBidi" w:cstheme="majorBidi"/>
          <w:vertAlign w:val="superscript"/>
        </w:rPr>
        <w:t>th</w:t>
      </w:r>
      <w:r w:rsidRPr="00C44FA6">
        <w:rPr>
          <w:rFonts w:asciiTheme="majorBidi" w:hAnsiTheme="majorBidi" w:cstheme="majorBidi"/>
        </w:rPr>
        <w:t xml:space="preserve"> of November</w:t>
      </w:r>
      <w:r w:rsidR="00607A8A">
        <w:rPr>
          <w:rFonts w:asciiTheme="majorBidi" w:hAnsiTheme="majorBidi" w:cstheme="majorBidi"/>
        </w:rPr>
        <w:t xml:space="preserve">. </w:t>
      </w:r>
      <w:r w:rsidR="00607A8A" w:rsidRP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>Their main aim was to support the Ministry of Higher Education and newly established Evaluation Agency.</w:t>
      </w:r>
      <w:r w:rsid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 xml:space="preserve"> </w:t>
      </w:r>
      <w:r w:rsidR="00A31981" w:rsidRP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>The</w:t>
      </w:r>
      <w:r w:rsid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>se</w:t>
      </w:r>
      <w:r w:rsidR="00A31981" w:rsidRP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 xml:space="preserve"> workshops were designed to enhance the capacity of the representatives of the QA units within Moroccan universities and help establish a Poole of evaluators and expe</w:t>
      </w:r>
      <w:r w:rsidR="00607A8A">
        <w:rPr>
          <w:rFonts w:asciiTheme="majorBidi" w:eastAsia="SimSun" w:hAnsiTheme="majorBidi" w:cstheme="majorBidi"/>
          <w:bCs/>
          <w:color w:val="000000" w:themeColor="text1"/>
          <w:lang w:eastAsia="zh-CN"/>
        </w:rPr>
        <w:t>rts working for the agency.</w:t>
      </w:r>
    </w:p>
    <w:p w:rsidR="006B143A" w:rsidRPr="00607A8A" w:rsidRDefault="00A31981" w:rsidP="00B1771E">
      <w:pPr>
        <w:rPr>
          <w:rFonts w:asciiTheme="majorBidi" w:hAnsiTheme="majorBidi" w:cstheme="majorBidi"/>
          <w:b/>
        </w:rPr>
      </w:pPr>
      <w:r w:rsidRPr="00607A8A">
        <w:rPr>
          <w:rFonts w:asciiTheme="majorBidi" w:hAnsiTheme="majorBidi" w:cstheme="majorBidi"/>
        </w:rPr>
        <w:t xml:space="preserve">In order to further enhance </w:t>
      </w:r>
      <w:r w:rsidR="00607A8A">
        <w:rPr>
          <w:rFonts w:asciiTheme="majorBidi" w:hAnsiTheme="majorBidi" w:cstheme="majorBidi"/>
        </w:rPr>
        <w:t>this support to the M</w:t>
      </w:r>
      <w:r w:rsidR="00EB6185">
        <w:rPr>
          <w:rFonts w:asciiTheme="majorBidi" w:hAnsiTheme="majorBidi" w:cstheme="majorBidi"/>
        </w:rPr>
        <w:t xml:space="preserve">initry of Higher Education and the National </w:t>
      </w:r>
      <w:r w:rsidR="00EB6185">
        <w:rPr>
          <w:rFonts w:asciiTheme="majorBidi" w:hAnsiTheme="majorBidi" w:cstheme="majorBidi"/>
        </w:rPr>
        <w:t>Agency</w:t>
      </w:r>
      <w:r w:rsidR="00EB6185">
        <w:rPr>
          <w:rFonts w:asciiTheme="majorBidi" w:hAnsiTheme="majorBidi" w:cstheme="majorBidi"/>
        </w:rPr>
        <w:t xml:space="preserve"> of Evaluation and Quality Assurance </w:t>
      </w:r>
      <w:r w:rsidR="00607A8A">
        <w:rPr>
          <w:rFonts w:asciiTheme="majorBidi" w:hAnsiTheme="majorBidi" w:cstheme="majorBidi"/>
        </w:rPr>
        <w:t>,</w:t>
      </w:r>
      <w:r w:rsidRPr="00607A8A">
        <w:rPr>
          <w:rFonts w:asciiTheme="majorBidi" w:hAnsiTheme="majorBidi" w:cstheme="majorBidi"/>
        </w:rPr>
        <w:t xml:space="preserve"> </w:t>
      </w:r>
      <w:r w:rsidR="006B143A" w:rsidRPr="00607A8A">
        <w:rPr>
          <w:rFonts w:asciiTheme="majorBidi" w:hAnsiTheme="majorBidi" w:cstheme="majorBidi"/>
        </w:rPr>
        <w:t xml:space="preserve">the British Council is suggesting a policy dialogue </w:t>
      </w:r>
      <w:r w:rsidR="006B143A" w:rsidRPr="00607A8A">
        <w:rPr>
          <w:rFonts w:asciiTheme="majorBidi" w:hAnsiTheme="majorBidi" w:cstheme="majorBidi"/>
          <w:b/>
        </w:rPr>
        <w:t>regional conference</w:t>
      </w:r>
      <w:r w:rsidR="002578A5" w:rsidRPr="00607A8A">
        <w:rPr>
          <w:rFonts w:asciiTheme="majorBidi" w:hAnsiTheme="majorBidi" w:cstheme="majorBidi"/>
          <w:b/>
        </w:rPr>
        <w:t>.</w:t>
      </w:r>
      <w:r w:rsidR="00C44FA6" w:rsidRPr="00607A8A">
        <w:rPr>
          <w:rFonts w:asciiTheme="majorBidi" w:hAnsiTheme="majorBidi" w:cstheme="majorBidi"/>
          <w:b/>
        </w:rPr>
        <w:t xml:space="preserve"> </w:t>
      </w:r>
      <w:r w:rsidR="00C44FA6" w:rsidRPr="00607A8A">
        <w:rPr>
          <w:rFonts w:asciiTheme="majorBidi" w:hAnsiTheme="majorBidi" w:cstheme="majorBidi"/>
        </w:rPr>
        <w:t xml:space="preserve">This is done with a view to ultimately </w:t>
      </w:r>
      <w:r w:rsidR="006B143A" w:rsidRPr="00607A8A">
        <w:rPr>
          <w:rFonts w:asciiTheme="majorBidi" w:hAnsiTheme="majorBidi" w:cstheme="majorBidi"/>
        </w:rPr>
        <w:t>support</w:t>
      </w:r>
      <w:r w:rsidR="00C44FA6" w:rsidRPr="00607A8A">
        <w:rPr>
          <w:rFonts w:asciiTheme="majorBidi" w:hAnsiTheme="majorBidi" w:cstheme="majorBidi"/>
        </w:rPr>
        <w:t>ing</w:t>
      </w:r>
      <w:r w:rsidR="006B143A" w:rsidRPr="00607A8A">
        <w:rPr>
          <w:rFonts w:asciiTheme="majorBidi" w:hAnsiTheme="majorBidi" w:cstheme="majorBidi"/>
        </w:rPr>
        <w:t xml:space="preserve"> key decision makers and implementers in the sector to e</w:t>
      </w:r>
      <w:r w:rsidR="00186539">
        <w:rPr>
          <w:rFonts w:asciiTheme="majorBidi" w:hAnsiTheme="majorBidi" w:cstheme="majorBidi"/>
        </w:rPr>
        <w:t>nhance the quality of the MENA Higher E</w:t>
      </w:r>
      <w:r w:rsidR="006B143A" w:rsidRPr="00607A8A">
        <w:rPr>
          <w:rFonts w:asciiTheme="majorBidi" w:hAnsiTheme="majorBidi" w:cstheme="majorBidi"/>
        </w:rPr>
        <w:t>ducation system in general.</w:t>
      </w:r>
    </w:p>
    <w:p w:rsidR="00B1771E" w:rsidRPr="00C44FA6" w:rsidRDefault="00B1771E" w:rsidP="00B1771E">
      <w:pPr>
        <w:rPr>
          <w:rFonts w:asciiTheme="majorBidi" w:hAnsiTheme="majorBidi" w:cstheme="majorBidi"/>
        </w:rPr>
      </w:pPr>
    </w:p>
    <w:p w:rsidR="00927FAA" w:rsidRPr="003943D2" w:rsidRDefault="006B143A" w:rsidP="00B177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E4070">
        <w:rPr>
          <w:rFonts w:asciiTheme="majorBidi" w:hAnsiTheme="majorBidi" w:cstheme="majorBidi"/>
          <w:b/>
          <w:bCs/>
        </w:rPr>
        <w:t>Purpose</w:t>
      </w:r>
      <w:r w:rsidR="00F10643">
        <w:rPr>
          <w:rFonts w:asciiTheme="majorBidi" w:hAnsiTheme="majorBidi" w:cstheme="majorBidi"/>
          <w:b/>
          <w:bCs/>
        </w:rPr>
        <w:t>s</w:t>
      </w:r>
      <w:r w:rsidRPr="000E4070">
        <w:rPr>
          <w:rFonts w:asciiTheme="majorBidi" w:hAnsiTheme="majorBidi" w:cstheme="majorBidi"/>
          <w:b/>
          <w:bCs/>
        </w:rPr>
        <w:t xml:space="preserve"> of conference</w:t>
      </w:r>
    </w:p>
    <w:p w:rsidR="00927FAA" w:rsidRPr="00C44FA6" w:rsidRDefault="00927FAA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 xml:space="preserve">To exchange best practices with key experts from the region and the UK in Higher Education, with particular focus </w:t>
      </w:r>
      <w:r w:rsidR="003943D2">
        <w:rPr>
          <w:rFonts w:asciiTheme="majorBidi" w:hAnsiTheme="majorBidi" w:cstheme="majorBidi"/>
        </w:rPr>
        <w:t>on Quality A</w:t>
      </w:r>
      <w:r w:rsidRPr="00C44FA6">
        <w:rPr>
          <w:rFonts w:asciiTheme="majorBidi" w:hAnsiTheme="majorBidi" w:cstheme="majorBidi"/>
        </w:rPr>
        <w:t>ssurance and internal and external strategies at in</w:t>
      </w:r>
      <w:r w:rsidR="003943D2">
        <w:rPr>
          <w:rFonts w:asciiTheme="majorBidi" w:hAnsiTheme="majorBidi" w:cstheme="majorBidi"/>
        </w:rPr>
        <w:t>stitutional and programme level</w:t>
      </w:r>
    </w:p>
    <w:p w:rsidR="00927FAA" w:rsidRPr="00C44FA6" w:rsidRDefault="00927FAA" w:rsidP="00B1771E">
      <w:pPr>
        <w:spacing w:after="0"/>
        <w:ind w:left="720"/>
        <w:jc w:val="both"/>
        <w:rPr>
          <w:rFonts w:asciiTheme="majorBidi" w:hAnsiTheme="majorBidi" w:cstheme="majorBidi"/>
        </w:rPr>
      </w:pPr>
    </w:p>
    <w:p w:rsidR="00927FAA" w:rsidRPr="00C44FA6" w:rsidRDefault="008354F4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provide Higher E</w:t>
      </w:r>
      <w:r w:rsidR="00927FAA" w:rsidRPr="00C44FA6">
        <w:rPr>
          <w:rFonts w:asciiTheme="majorBidi" w:hAnsiTheme="majorBidi" w:cstheme="majorBidi"/>
        </w:rPr>
        <w:t>ducation policy makers from Morocco with an insight in</w:t>
      </w:r>
      <w:r w:rsidR="00F10643">
        <w:rPr>
          <w:rFonts w:asciiTheme="majorBidi" w:hAnsiTheme="majorBidi" w:cstheme="majorBidi"/>
        </w:rPr>
        <w:t>to the UK and the MENA region’s</w:t>
      </w:r>
      <w:r w:rsidR="00927FAA" w:rsidRPr="00C44FA6">
        <w:rPr>
          <w:rFonts w:asciiTheme="majorBidi" w:hAnsiTheme="majorBidi" w:cstheme="majorBidi"/>
        </w:rPr>
        <w:t xml:space="preserve"> higher education system</w:t>
      </w:r>
      <w:r w:rsidR="00F10643">
        <w:rPr>
          <w:rFonts w:asciiTheme="majorBidi" w:hAnsiTheme="majorBidi" w:cstheme="majorBidi"/>
        </w:rPr>
        <w:t>s</w:t>
      </w:r>
      <w:r w:rsidR="00927FAA" w:rsidRPr="00C44FA6">
        <w:rPr>
          <w:rFonts w:asciiTheme="majorBidi" w:hAnsiTheme="majorBidi" w:cstheme="majorBidi"/>
        </w:rPr>
        <w:t xml:space="preserve">, particularly in areas of </w:t>
      </w:r>
      <w:r w:rsidR="006E7001">
        <w:rPr>
          <w:rFonts w:asciiTheme="majorBidi" w:hAnsiTheme="majorBidi" w:cstheme="majorBidi"/>
        </w:rPr>
        <w:t>QA</w:t>
      </w:r>
      <w:r w:rsidR="00927FAA" w:rsidRPr="00C44FA6">
        <w:rPr>
          <w:rFonts w:asciiTheme="majorBidi" w:hAnsiTheme="majorBidi" w:cstheme="majorBidi"/>
        </w:rPr>
        <w:t xml:space="preserve"> and governance</w:t>
      </w:r>
    </w:p>
    <w:p w:rsidR="00927FAA" w:rsidRPr="00C44FA6" w:rsidRDefault="00927FAA" w:rsidP="00B1771E">
      <w:pPr>
        <w:spacing w:after="0"/>
        <w:ind w:left="360"/>
        <w:jc w:val="both"/>
        <w:rPr>
          <w:rFonts w:asciiTheme="majorBidi" w:hAnsiTheme="majorBidi" w:cstheme="majorBidi"/>
        </w:rPr>
      </w:pPr>
    </w:p>
    <w:p w:rsidR="00927FAA" w:rsidRPr="00C44FA6" w:rsidRDefault="00927FAA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To explore opportunities for the Moroccan delegates’ relationship building with UK colleagues</w:t>
      </w:r>
      <w:r w:rsidR="00054B2F">
        <w:rPr>
          <w:rFonts w:asciiTheme="majorBidi" w:hAnsiTheme="majorBidi" w:cstheme="majorBidi"/>
        </w:rPr>
        <w:t xml:space="preserve">. </w:t>
      </w:r>
      <w:r w:rsidR="002305D2">
        <w:rPr>
          <w:rFonts w:asciiTheme="majorBidi" w:hAnsiTheme="majorBidi" w:cstheme="majorBidi"/>
        </w:rPr>
        <w:t>Aim</w:t>
      </w:r>
      <w:r w:rsidR="00054B2F">
        <w:rPr>
          <w:rFonts w:asciiTheme="majorBidi" w:hAnsiTheme="majorBidi" w:cstheme="majorBidi"/>
        </w:rPr>
        <w:t xml:space="preserve"> to facilitate</w:t>
      </w:r>
      <w:r w:rsidRPr="00C44FA6">
        <w:rPr>
          <w:rFonts w:asciiTheme="majorBidi" w:hAnsiTheme="majorBidi" w:cstheme="majorBidi"/>
        </w:rPr>
        <w:t xml:space="preserve"> collaboration at depar</w:t>
      </w:r>
      <w:r w:rsidR="00054B2F">
        <w:rPr>
          <w:rFonts w:asciiTheme="majorBidi" w:hAnsiTheme="majorBidi" w:cstheme="majorBidi"/>
        </w:rPr>
        <w:t>tmental/institutional level and</w:t>
      </w:r>
      <w:r w:rsidRPr="00C44FA6">
        <w:rPr>
          <w:rFonts w:asciiTheme="majorBidi" w:hAnsiTheme="majorBidi" w:cstheme="majorBidi"/>
        </w:rPr>
        <w:t xml:space="preserve"> incorporate the knowledge gained during the visit in</w:t>
      </w:r>
      <w:r w:rsidR="00054B2F">
        <w:rPr>
          <w:rFonts w:asciiTheme="majorBidi" w:hAnsiTheme="majorBidi" w:cstheme="majorBidi"/>
        </w:rPr>
        <w:t>to the work of the Moroccan delegates</w:t>
      </w:r>
      <w:r w:rsidR="002305D2">
        <w:rPr>
          <w:rFonts w:asciiTheme="majorBidi" w:hAnsiTheme="majorBidi" w:cstheme="majorBidi"/>
        </w:rPr>
        <w:t>;</w:t>
      </w:r>
      <w:r w:rsidR="00054B2F">
        <w:rPr>
          <w:rFonts w:asciiTheme="majorBidi" w:hAnsiTheme="majorBidi" w:cstheme="majorBidi"/>
        </w:rPr>
        <w:t xml:space="preserve"> </w:t>
      </w:r>
      <w:r w:rsidR="003777A6">
        <w:rPr>
          <w:rFonts w:asciiTheme="majorBidi" w:hAnsiTheme="majorBidi" w:cstheme="majorBidi"/>
        </w:rPr>
        <w:t>thereby</w:t>
      </w:r>
      <w:r w:rsidRPr="00C44FA6">
        <w:rPr>
          <w:rFonts w:asciiTheme="majorBidi" w:hAnsiTheme="majorBidi" w:cstheme="majorBidi"/>
        </w:rPr>
        <w:t xml:space="preserve"> support</w:t>
      </w:r>
      <w:r w:rsidR="003777A6">
        <w:rPr>
          <w:rFonts w:asciiTheme="majorBidi" w:hAnsiTheme="majorBidi" w:cstheme="majorBidi"/>
        </w:rPr>
        <w:t>ing</w:t>
      </w:r>
      <w:r w:rsidRPr="00C44FA6">
        <w:rPr>
          <w:rFonts w:asciiTheme="majorBidi" w:hAnsiTheme="majorBidi" w:cstheme="majorBidi"/>
        </w:rPr>
        <w:t xml:space="preserve"> Moroccan national priorities in</w:t>
      </w:r>
      <w:r w:rsidR="003777A6">
        <w:rPr>
          <w:rFonts w:asciiTheme="majorBidi" w:hAnsiTheme="majorBidi" w:cstheme="majorBidi"/>
        </w:rPr>
        <w:t xml:space="preserve"> the sectors of</w:t>
      </w:r>
      <w:r w:rsidRPr="00C44FA6">
        <w:rPr>
          <w:rFonts w:asciiTheme="majorBidi" w:hAnsiTheme="majorBidi" w:cstheme="majorBidi"/>
        </w:rPr>
        <w:t xml:space="preserve"> accred</w:t>
      </w:r>
      <w:r w:rsidR="00054B2F">
        <w:rPr>
          <w:rFonts w:asciiTheme="majorBidi" w:hAnsiTheme="majorBidi" w:cstheme="majorBidi"/>
        </w:rPr>
        <w:t xml:space="preserve">itation, </w:t>
      </w:r>
      <w:r w:rsidR="003777A6">
        <w:rPr>
          <w:rFonts w:asciiTheme="majorBidi" w:hAnsiTheme="majorBidi" w:cstheme="majorBidi"/>
        </w:rPr>
        <w:t>QA</w:t>
      </w:r>
      <w:r w:rsidR="00054B2F">
        <w:rPr>
          <w:rFonts w:asciiTheme="majorBidi" w:hAnsiTheme="majorBidi" w:cstheme="majorBidi"/>
        </w:rPr>
        <w:t xml:space="preserve"> and </w:t>
      </w:r>
      <w:r w:rsidRPr="00C44FA6">
        <w:rPr>
          <w:rFonts w:asciiTheme="majorBidi" w:hAnsiTheme="majorBidi" w:cstheme="majorBidi"/>
        </w:rPr>
        <w:t>professional development.</w:t>
      </w:r>
    </w:p>
    <w:p w:rsidR="00927FAA" w:rsidRPr="00C44FA6" w:rsidRDefault="00927FAA" w:rsidP="00B1771E">
      <w:pPr>
        <w:rPr>
          <w:rFonts w:asciiTheme="majorBidi" w:hAnsiTheme="majorBidi" w:cstheme="majorBidi"/>
        </w:rPr>
      </w:pPr>
    </w:p>
    <w:p w:rsidR="000119CD" w:rsidRDefault="00AA5342" w:rsidP="002305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E4070">
        <w:rPr>
          <w:rFonts w:asciiTheme="majorBidi" w:hAnsiTheme="majorBidi" w:cstheme="majorBidi"/>
          <w:b/>
          <w:bCs/>
        </w:rPr>
        <w:t>Responsibilities of the conference director</w:t>
      </w:r>
    </w:p>
    <w:p w:rsidR="00F3536C" w:rsidRDefault="00F3536C" w:rsidP="002305D2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Help develop the concept paper for the regional conference</w:t>
      </w:r>
    </w:p>
    <w:p w:rsidR="005C4653" w:rsidRPr="00C44FA6" w:rsidRDefault="005C4653" w:rsidP="002305D2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Set major topics for plenary and parallel sessions</w:t>
      </w:r>
    </w:p>
    <w:p w:rsidR="005C4653" w:rsidRPr="00C44FA6" w:rsidRDefault="005C4653" w:rsidP="002305D2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Identify and target </w:t>
      </w:r>
      <w:r w:rsidR="00A54C5D">
        <w:rPr>
          <w:rFonts w:asciiTheme="majorBidi" w:hAnsiTheme="majorBidi" w:cstheme="majorBidi"/>
        </w:rPr>
        <w:t>relevant speakers for the event</w:t>
      </w:r>
    </w:p>
    <w:p w:rsidR="001F4AB8" w:rsidRPr="001F4AB8" w:rsidRDefault="001F4AB8" w:rsidP="002305D2">
      <w:pPr>
        <w:rPr>
          <w:rFonts w:asciiTheme="majorBidi" w:hAnsiTheme="majorBidi" w:cstheme="majorBidi"/>
          <w:b/>
          <w:bCs/>
        </w:rPr>
      </w:pPr>
    </w:p>
    <w:p w:rsidR="00927FAA" w:rsidRPr="000E4070" w:rsidRDefault="000E4070" w:rsidP="002305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Conference aims</w:t>
      </w:r>
    </w:p>
    <w:p w:rsidR="00920B99" w:rsidRPr="00C44FA6" w:rsidRDefault="00920B99" w:rsidP="002305D2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Improving quality assurance practices and strategic plan</w:t>
      </w:r>
      <w:r w:rsidR="00F16904">
        <w:rPr>
          <w:rFonts w:asciiTheme="majorBidi" w:hAnsiTheme="majorBidi" w:cstheme="majorBidi"/>
        </w:rPr>
        <w:t>ning</w:t>
      </w:r>
    </w:p>
    <w:p w:rsidR="00920B99" w:rsidRPr="00C44FA6" w:rsidRDefault="00920B99" w:rsidP="002305D2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Establishing and monitoring internal quality a</w:t>
      </w:r>
      <w:r w:rsidR="00F16904">
        <w:rPr>
          <w:rFonts w:asciiTheme="majorBidi" w:hAnsiTheme="majorBidi" w:cstheme="majorBidi"/>
        </w:rPr>
        <w:t>nd evaluation system programmes</w:t>
      </w:r>
    </w:p>
    <w:p w:rsidR="00920B99" w:rsidRPr="00C44FA6" w:rsidRDefault="00920B99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Strategic planning for quality improvement of Higher Education</w:t>
      </w:r>
    </w:p>
    <w:p w:rsidR="00920B99" w:rsidRPr="00C44FA6" w:rsidRDefault="00920B99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 xml:space="preserve">Planning and implementation of QA programmes, and preparing </w:t>
      </w:r>
      <w:r w:rsidR="00F16904">
        <w:rPr>
          <w:rFonts w:asciiTheme="majorBidi" w:hAnsiTheme="majorBidi" w:cstheme="majorBidi"/>
        </w:rPr>
        <w:t>for external reviews and audits</w:t>
      </w:r>
    </w:p>
    <w:p w:rsidR="00920B99" w:rsidRPr="00C44FA6" w:rsidRDefault="00920B99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Internationalis</w:t>
      </w:r>
      <w:r w:rsidR="00F16904">
        <w:rPr>
          <w:rFonts w:asciiTheme="majorBidi" w:hAnsiTheme="majorBidi" w:cstheme="majorBidi"/>
        </w:rPr>
        <w:t>ation and research ranking</w:t>
      </w:r>
      <w:r w:rsidRPr="00C44FA6">
        <w:rPr>
          <w:rFonts w:asciiTheme="majorBidi" w:hAnsiTheme="majorBidi" w:cstheme="majorBidi"/>
        </w:rPr>
        <w:t xml:space="preserve"> </w:t>
      </w:r>
    </w:p>
    <w:p w:rsidR="00920B99" w:rsidRPr="00C44FA6" w:rsidRDefault="00920B99" w:rsidP="00B177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C44FA6">
        <w:rPr>
          <w:rFonts w:asciiTheme="majorBidi" w:hAnsiTheme="majorBidi" w:cstheme="majorBidi"/>
        </w:rPr>
        <w:t>Planning for academic research, research grants and partnerships</w:t>
      </w:r>
    </w:p>
    <w:p w:rsidR="00920B99" w:rsidRPr="00C44FA6" w:rsidRDefault="00920B99" w:rsidP="00B1771E">
      <w:pPr>
        <w:rPr>
          <w:rFonts w:asciiTheme="majorBidi" w:hAnsiTheme="majorBidi" w:cstheme="majorBidi"/>
        </w:rPr>
      </w:pPr>
    </w:p>
    <w:p w:rsidR="00920B99" w:rsidRPr="000119CD" w:rsidRDefault="00AA5342" w:rsidP="00B177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119CD">
        <w:rPr>
          <w:rFonts w:asciiTheme="majorBidi" w:hAnsiTheme="majorBidi" w:cstheme="majorBidi"/>
          <w:b/>
          <w:bCs/>
        </w:rPr>
        <w:t>Qualifications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>Educated to degree level/relevant experience in the field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 xml:space="preserve">Proven knowledge and/or experience in </w:t>
      </w:r>
      <w:r>
        <w:rPr>
          <w:rFonts w:asciiTheme="majorBidi" w:hAnsiTheme="majorBidi" w:cstheme="majorBidi"/>
          <w:lang w:val="en-US"/>
        </w:rPr>
        <w:t>the Higher Education</w:t>
      </w:r>
      <w:r w:rsidRPr="000119CD">
        <w:rPr>
          <w:rFonts w:asciiTheme="majorBidi" w:hAnsiTheme="majorBidi" w:cstheme="majorBidi"/>
          <w:lang w:val="en-US"/>
        </w:rPr>
        <w:t xml:space="preserve"> sector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 xml:space="preserve">Previous work experience in </w:t>
      </w:r>
      <w:r>
        <w:rPr>
          <w:rFonts w:asciiTheme="majorBidi" w:hAnsiTheme="majorBidi" w:cstheme="majorBidi"/>
          <w:lang w:val="en-US"/>
        </w:rPr>
        <w:t>conferences</w:t>
      </w:r>
      <w:r w:rsidRPr="000119CD">
        <w:rPr>
          <w:rFonts w:asciiTheme="majorBidi" w:hAnsiTheme="majorBidi" w:cstheme="majorBidi"/>
          <w:lang w:val="en-US"/>
        </w:rPr>
        <w:t xml:space="preserve"> 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</w:t>
      </w:r>
      <w:r w:rsidRPr="000119CD">
        <w:rPr>
          <w:rFonts w:asciiTheme="majorBidi" w:hAnsiTheme="majorBidi" w:cstheme="majorBidi"/>
          <w:lang w:val="en-US"/>
        </w:rPr>
        <w:t xml:space="preserve">xperience </w:t>
      </w:r>
      <w:r>
        <w:rPr>
          <w:rFonts w:asciiTheme="majorBidi" w:hAnsiTheme="majorBidi" w:cstheme="majorBidi"/>
          <w:lang w:val="en-US"/>
        </w:rPr>
        <w:t xml:space="preserve">and an </w:t>
      </w:r>
      <w:r w:rsidRPr="000119CD">
        <w:rPr>
          <w:rFonts w:asciiTheme="majorBidi" w:hAnsiTheme="majorBidi" w:cstheme="majorBidi"/>
          <w:lang w:val="en-US"/>
        </w:rPr>
        <w:t xml:space="preserve">in-depth understanding of the </w:t>
      </w:r>
      <w:r>
        <w:rPr>
          <w:rFonts w:asciiTheme="majorBidi" w:hAnsiTheme="majorBidi" w:cstheme="majorBidi"/>
          <w:lang w:val="en-US"/>
        </w:rPr>
        <w:t>Higher Education</w:t>
      </w:r>
      <w:r w:rsidRPr="000119CD">
        <w:rPr>
          <w:rFonts w:asciiTheme="majorBidi" w:hAnsiTheme="majorBidi" w:cstheme="majorBidi"/>
          <w:lang w:val="en-US"/>
        </w:rPr>
        <w:t xml:space="preserve"> sector in region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>Previous interactions and dialogue experi</w:t>
      </w:r>
      <w:r>
        <w:rPr>
          <w:rFonts w:asciiTheme="majorBidi" w:hAnsiTheme="majorBidi" w:cstheme="majorBidi"/>
          <w:lang w:val="en-US"/>
        </w:rPr>
        <w:t>ence with government officials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 xml:space="preserve">Advanced knowledge of </w:t>
      </w:r>
      <w:r>
        <w:rPr>
          <w:rFonts w:asciiTheme="majorBidi" w:hAnsiTheme="majorBidi" w:cstheme="majorBidi"/>
          <w:lang w:val="en-US"/>
        </w:rPr>
        <w:t>Excel, Word and Power Point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>Excellent writing skills and oral communication skills</w:t>
      </w:r>
      <w:r>
        <w:rPr>
          <w:rFonts w:asciiTheme="majorBidi" w:hAnsiTheme="majorBidi" w:cstheme="majorBidi"/>
          <w:lang w:val="en-US"/>
        </w:rPr>
        <w:t xml:space="preserve"> in English, French, and Arabic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>Interpersonal and communication skills to successfully ope</w:t>
      </w:r>
      <w:r>
        <w:rPr>
          <w:rFonts w:asciiTheme="majorBidi" w:hAnsiTheme="majorBidi" w:cstheme="majorBidi"/>
          <w:lang w:val="en-US"/>
        </w:rPr>
        <w:t>rate in team-based work culture</w:t>
      </w:r>
    </w:p>
    <w:p w:rsidR="000119CD" w:rsidRPr="000119CD" w:rsidRDefault="000119CD" w:rsidP="00B1771E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lang w:val="en-US"/>
        </w:rPr>
      </w:pPr>
      <w:r w:rsidRPr="000119CD">
        <w:rPr>
          <w:rFonts w:asciiTheme="majorBidi" w:hAnsiTheme="majorBidi" w:cstheme="majorBidi"/>
          <w:lang w:val="en-US"/>
        </w:rPr>
        <w:t>Ability to undertake tasks independen</w:t>
      </w:r>
      <w:r>
        <w:rPr>
          <w:rFonts w:asciiTheme="majorBidi" w:hAnsiTheme="majorBidi" w:cstheme="majorBidi"/>
          <w:lang w:val="en-US"/>
        </w:rPr>
        <w:t>tly or with limited supervision</w:t>
      </w:r>
    </w:p>
    <w:p w:rsidR="00920B99" w:rsidRPr="000119CD" w:rsidRDefault="00920B99" w:rsidP="00B1771E">
      <w:pPr>
        <w:rPr>
          <w:rFonts w:asciiTheme="majorBidi" w:hAnsiTheme="majorBidi" w:cstheme="majorBidi"/>
          <w:lang w:val="en-US"/>
        </w:rPr>
      </w:pPr>
    </w:p>
    <w:p w:rsidR="00AA5342" w:rsidRPr="000E4070" w:rsidRDefault="00AA5342" w:rsidP="00B177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E4070">
        <w:rPr>
          <w:rFonts w:asciiTheme="majorBidi" w:hAnsiTheme="majorBidi" w:cstheme="majorBidi"/>
          <w:b/>
          <w:bCs/>
        </w:rPr>
        <w:t>Budget</w:t>
      </w:r>
    </w:p>
    <w:p w:rsidR="00920B99" w:rsidRPr="00B9637E" w:rsidRDefault="00B9637E" w:rsidP="00B9637E">
      <w:pPr>
        <w:ind w:firstLine="360"/>
        <w:rPr>
          <w:rFonts w:ascii="Times New Roman" w:hAnsi="Times New Roman" w:cs="Times New Roman"/>
        </w:rPr>
      </w:pPr>
      <w:r w:rsidRPr="00B9637E">
        <w:rPr>
          <w:rFonts w:ascii="Times New Roman" w:hAnsi="Times New Roman" w:cs="Times New Roman"/>
        </w:rPr>
        <w:t xml:space="preserve">The indicative budget for this </w:t>
      </w:r>
      <w:r>
        <w:rPr>
          <w:rFonts w:ascii="Times New Roman" w:hAnsi="Times New Roman" w:cs="Times New Roman"/>
        </w:rPr>
        <w:t>work</w:t>
      </w:r>
      <w:r w:rsidRPr="00B9637E">
        <w:rPr>
          <w:rFonts w:ascii="Times New Roman" w:hAnsi="Times New Roman" w:cs="Times New Roman"/>
        </w:rPr>
        <w:t xml:space="preserve"> is MAD </w:t>
      </w:r>
      <w:r>
        <w:rPr>
          <w:rFonts w:ascii="Times New Roman" w:hAnsi="Times New Roman" w:cs="Times New Roman"/>
        </w:rPr>
        <w:t>15</w:t>
      </w:r>
      <w:r w:rsidRPr="00B9637E">
        <w:rPr>
          <w:rFonts w:ascii="Times New Roman" w:hAnsi="Times New Roman" w:cs="Times New Roman"/>
        </w:rPr>
        <w:t xml:space="preserve"> 000 including VAT.</w:t>
      </w:r>
    </w:p>
    <w:p w:rsidR="00AA5342" w:rsidRPr="000E4070" w:rsidRDefault="00AA5342" w:rsidP="00B177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E4070">
        <w:rPr>
          <w:rFonts w:asciiTheme="majorBidi" w:hAnsiTheme="majorBidi" w:cstheme="majorBidi"/>
          <w:b/>
          <w:bCs/>
        </w:rPr>
        <w:t>Instructions for submitting your tender</w:t>
      </w:r>
    </w:p>
    <w:p w:rsidR="00920B99" w:rsidRPr="000E4070" w:rsidRDefault="00C44FA6" w:rsidP="00B1771E">
      <w:pPr>
        <w:rPr>
          <w:rFonts w:asciiTheme="majorBidi" w:hAnsiTheme="majorBidi" w:cstheme="majorBidi"/>
          <w:lang w:val="en"/>
        </w:rPr>
      </w:pPr>
      <w:r w:rsidRPr="00C44FA6">
        <w:rPr>
          <w:rFonts w:asciiTheme="majorBidi" w:eastAsia="Calibri" w:hAnsiTheme="majorBidi" w:cstheme="majorBidi"/>
        </w:rPr>
        <w:t xml:space="preserve">Please submit a copy of your tender, with ‘Tender for regional Conference Director MENA” in the email subject line, to </w:t>
      </w:r>
      <w:hyperlink r:id="rId8" w:history="1">
        <w:r w:rsidRPr="00C44FA6">
          <w:rPr>
            <w:rStyle w:val="Hyperlink"/>
            <w:rFonts w:asciiTheme="majorBidi" w:hAnsiTheme="majorBidi" w:cstheme="majorBidi"/>
            <w:lang w:val="en"/>
          </w:rPr>
          <w:t>amina.elabdellaoui@britishcouncil.org</w:t>
        </w:r>
      </w:hyperlink>
      <w:r w:rsidR="000E4070">
        <w:rPr>
          <w:rFonts w:asciiTheme="majorBidi" w:hAnsiTheme="majorBidi" w:cstheme="majorBidi"/>
          <w:lang w:val="en"/>
        </w:rPr>
        <w:t xml:space="preserve"> </w:t>
      </w:r>
      <w:r w:rsidRPr="00C44FA6">
        <w:rPr>
          <w:rFonts w:asciiTheme="majorBidi" w:eastAsia="Calibri" w:hAnsiTheme="majorBidi" w:cstheme="majorBidi"/>
        </w:rPr>
        <w:t xml:space="preserve">by no later than </w:t>
      </w:r>
      <w:r w:rsidR="00F3536C">
        <w:rPr>
          <w:rFonts w:asciiTheme="majorBidi" w:eastAsia="Calibri" w:hAnsiTheme="majorBidi" w:cstheme="majorBidi"/>
        </w:rPr>
        <w:t>17 December 2015</w:t>
      </w:r>
    </w:p>
    <w:p w:rsidR="00920B99" w:rsidRPr="00C44FA6" w:rsidRDefault="00920B99" w:rsidP="00B1771E">
      <w:pPr>
        <w:rPr>
          <w:rFonts w:asciiTheme="majorBidi" w:hAnsiTheme="majorBidi" w:cstheme="majorBidi"/>
        </w:rPr>
      </w:pPr>
    </w:p>
    <w:p w:rsidR="00AA5342" w:rsidRDefault="00AA5342" w:rsidP="00B177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40491">
        <w:rPr>
          <w:rFonts w:asciiTheme="majorBidi" w:hAnsiTheme="majorBidi" w:cstheme="majorBidi"/>
          <w:b/>
          <w:bCs/>
        </w:rPr>
        <w:t>Timetable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3405"/>
      </w:tblGrid>
      <w:tr w:rsidR="001173CD" w:rsidRPr="001173CD" w:rsidTr="00612658">
        <w:trPr>
          <w:trHeight w:val="375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1173CD">
              <w:rPr>
                <w:rFonts w:asciiTheme="majorBidi" w:eastAsia="Calibri" w:hAnsiTheme="majorBidi" w:cstheme="majorBidi"/>
                <w:b/>
                <w:bCs/>
              </w:rPr>
              <w:t>Activity</w:t>
            </w:r>
          </w:p>
        </w:tc>
        <w:tc>
          <w:tcPr>
            <w:tcW w:w="3405" w:type="dxa"/>
          </w:tcPr>
          <w:p w:rsidR="001173CD" w:rsidRPr="001173CD" w:rsidRDefault="001173CD" w:rsidP="001173CD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1173CD">
              <w:rPr>
                <w:rFonts w:asciiTheme="majorBidi" w:eastAsia="Calibri" w:hAnsiTheme="majorBidi" w:cstheme="majorBidi"/>
                <w:b/>
                <w:bCs/>
              </w:rPr>
              <w:t>Date</w:t>
            </w:r>
          </w:p>
        </w:tc>
      </w:tr>
      <w:tr w:rsidR="001173CD" w:rsidRPr="001173CD" w:rsidTr="00612658">
        <w:trPr>
          <w:trHeight w:val="360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>Invitation to tender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 December</w:t>
            </w:r>
          </w:p>
        </w:tc>
      </w:tr>
      <w:tr w:rsidR="001173CD" w:rsidRPr="001173CD" w:rsidTr="00612658">
        <w:trPr>
          <w:trHeight w:val="300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 xml:space="preserve">Clarification questions submitted and responded to  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December</w:t>
            </w:r>
          </w:p>
        </w:tc>
      </w:tr>
      <w:tr w:rsidR="001173CD" w:rsidRPr="001173CD" w:rsidTr="00612658">
        <w:trPr>
          <w:trHeight w:val="270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 xml:space="preserve">Submission 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17 December</w:t>
            </w:r>
          </w:p>
        </w:tc>
      </w:tr>
      <w:tr w:rsidR="001173CD" w:rsidRPr="001173CD" w:rsidTr="00612658">
        <w:trPr>
          <w:trHeight w:val="135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 xml:space="preserve">Evaluation of responses, and shortlisting 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22 December</w:t>
            </w:r>
          </w:p>
        </w:tc>
      </w:tr>
      <w:tr w:rsidR="001173CD" w:rsidRPr="001173CD" w:rsidTr="00612658">
        <w:trPr>
          <w:trHeight w:val="135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>Interviews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24 December</w:t>
            </w:r>
          </w:p>
        </w:tc>
      </w:tr>
      <w:tr w:rsidR="001173CD" w:rsidRPr="001173CD" w:rsidTr="00612658">
        <w:trPr>
          <w:trHeight w:val="135"/>
        </w:trPr>
        <w:tc>
          <w:tcPr>
            <w:tcW w:w="2895" w:type="dxa"/>
          </w:tcPr>
          <w:p w:rsidR="001173CD" w:rsidRPr="001173CD" w:rsidRDefault="001173CD" w:rsidP="00A54C5D">
            <w:pPr>
              <w:spacing w:line="240" w:lineRule="auto"/>
              <w:rPr>
                <w:rFonts w:asciiTheme="majorBidi" w:eastAsia="Calibri" w:hAnsiTheme="majorBidi" w:cstheme="majorBidi"/>
              </w:rPr>
            </w:pPr>
            <w:r w:rsidRPr="001173CD">
              <w:rPr>
                <w:rFonts w:asciiTheme="majorBidi" w:eastAsia="Calibri" w:hAnsiTheme="majorBidi" w:cstheme="majorBidi"/>
              </w:rPr>
              <w:t>Final Decision</w:t>
            </w:r>
          </w:p>
        </w:tc>
        <w:tc>
          <w:tcPr>
            <w:tcW w:w="3405" w:type="dxa"/>
          </w:tcPr>
          <w:p w:rsidR="001173CD" w:rsidRPr="001173CD" w:rsidRDefault="00F3536C" w:rsidP="001173C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30 December</w:t>
            </w:r>
          </w:p>
        </w:tc>
      </w:tr>
    </w:tbl>
    <w:p w:rsidR="001173CD" w:rsidRPr="001173CD" w:rsidRDefault="001173CD" w:rsidP="001173CD">
      <w:pPr>
        <w:rPr>
          <w:rFonts w:asciiTheme="majorBidi" w:hAnsiTheme="majorBidi" w:cstheme="majorBidi"/>
          <w:b/>
          <w:bCs/>
        </w:rPr>
      </w:pPr>
    </w:p>
    <w:sectPr w:rsidR="001173CD" w:rsidRPr="001173C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D8" w:rsidRDefault="00677CD8" w:rsidP="00920B99">
      <w:pPr>
        <w:spacing w:after="0" w:line="240" w:lineRule="auto"/>
      </w:pPr>
      <w:r>
        <w:separator/>
      </w:r>
    </w:p>
  </w:endnote>
  <w:endnote w:type="continuationSeparator" w:id="0">
    <w:p w:rsidR="00677CD8" w:rsidRDefault="00677CD8" w:rsidP="0092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9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B99" w:rsidRDefault="00920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0B99" w:rsidRDefault="00920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D8" w:rsidRDefault="00677CD8" w:rsidP="00920B99">
      <w:pPr>
        <w:spacing w:after="0" w:line="240" w:lineRule="auto"/>
      </w:pPr>
      <w:r>
        <w:separator/>
      </w:r>
    </w:p>
  </w:footnote>
  <w:footnote w:type="continuationSeparator" w:id="0">
    <w:p w:rsidR="00677CD8" w:rsidRDefault="00677CD8" w:rsidP="0092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4A6"/>
    <w:multiLevelType w:val="hybridMultilevel"/>
    <w:tmpl w:val="01B4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B4"/>
    <w:multiLevelType w:val="hybridMultilevel"/>
    <w:tmpl w:val="5ACA7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C15D2"/>
    <w:multiLevelType w:val="hybridMultilevel"/>
    <w:tmpl w:val="219CBFEA"/>
    <w:lvl w:ilvl="0" w:tplc="EC1A2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2F6"/>
    <w:multiLevelType w:val="hybridMultilevel"/>
    <w:tmpl w:val="99CE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D076E"/>
    <w:multiLevelType w:val="hybridMultilevel"/>
    <w:tmpl w:val="FBD8462C"/>
    <w:lvl w:ilvl="0" w:tplc="B76C5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A7B3B"/>
    <w:multiLevelType w:val="hybridMultilevel"/>
    <w:tmpl w:val="C69E2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301"/>
    <w:multiLevelType w:val="hybridMultilevel"/>
    <w:tmpl w:val="668EE348"/>
    <w:lvl w:ilvl="0" w:tplc="EC1A2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0057"/>
    <w:multiLevelType w:val="hybridMultilevel"/>
    <w:tmpl w:val="613217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325ED"/>
    <w:multiLevelType w:val="hybridMultilevel"/>
    <w:tmpl w:val="427C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F08A0"/>
    <w:multiLevelType w:val="hybridMultilevel"/>
    <w:tmpl w:val="FFCE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3471"/>
    <w:multiLevelType w:val="hybridMultilevel"/>
    <w:tmpl w:val="6C080580"/>
    <w:lvl w:ilvl="0" w:tplc="EC1A2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322DF"/>
    <w:multiLevelType w:val="hybridMultilevel"/>
    <w:tmpl w:val="0D2C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A7E99"/>
    <w:multiLevelType w:val="hybridMultilevel"/>
    <w:tmpl w:val="58D8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6342C"/>
    <w:multiLevelType w:val="hybridMultilevel"/>
    <w:tmpl w:val="72D0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11284"/>
    <w:multiLevelType w:val="hybridMultilevel"/>
    <w:tmpl w:val="77F8F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42"/>
    <w:rsid w:val="000116BD"/>
    <w:rsid w:val="000119CD"/>
    <w:rsid w:val="000225C0"/>
    <w:rsid w:val="00041EFA"/>
    <w:rsid w:val="00054B2F"/>
    <w:rsid w:val="00054BD6"/>
    <w:rsid w:val="000A692A"/>
    <w:rsid w:val="000A6A18"/>
    <w:rsid w:val="000B2756"/>
    <w:rsid w:val="000C0B5D"/>
    <w:rsid w:val="000E4070"/>
    <w:rsid w:val="000F0890"/>
    <w:rsid w:val="000F7BE2"/>
    <w:rsid w:val="001173CD"/>
    <w:rsid w:val="0013643E"/>
    <w:rsid w:val="00184750"/>
    <w:rsid w:val="00186539"/>
    <w:rsid w:val="001902DF"/>
    <w:rsid w:val="001B6C0B"/>
    <w:rsid w:val="001F4AB8"/>
    <w:rsid w:val="002305D2"/>
    <w:rsid w:val="00245DD3"/>
    <w:rsid w:val="002578A5"/>
    <w:rsid w:val="00274545"/>
    <w:rsid w:val="00294500"/>
    <w:rsid w:val="00340020"/>
    <w:rsid w:val="003777A6"/>
    <w:rsid w:val="003943D2"/>
    <w:rsid w:val="003C79FF"/>
    <w:rsid w:val="003D2D46"/>
    <w:rsid w:val="004428CF"/>
    <w:rsid w:val="00465AE8"/>
    <w:rsid w:val="00467C66"/>
    <w:rsid w:val="0049641D"/>
    <w:rsid w:val="00502258"/>
    <w:rsid w:val="005734BB"/>
    <w:rsid w:val="005C4653"/>
    <w:rsid w:val="00607A8A"/>
    <w:rsid w:val="00625DA2"/>
    <w:rsid w:val="00677CD8"/>
    <w:rsid w:val="00681EDB"/>
    <w:rsid w:val="00693216"/>
    <w:rsid w:val="006B143A"/>
    <w:rsid w:val="006E1CBB"/>
    <w:rsid w:val="006E7001"/>
    <w:rsid w:val="00732831"/>
    <w:rsid w:val="007350B1"/>
    <w:rsid w:val="007A7E83"/>
    <w:rsid w:val="008354F4"/>
    <w:rsid w:val="008457B8"/>
    <w:rsid w:val="008516D5"/>
    <w:rsid w:val="00856169"/>
    <w:rsid w:val="008B7B0E"/>
    <w:rsid w:val="008E75CC"/>
    <w:rsid w:val="00920B99"/>
    <w:rsid w:val="00927FAA"/>
    <w:rsid w:val="00940491"/>
    <w:rsid w:val="00951483"/>
    <w:rsid w:val="00987E59"/>
    <w:rsid w:val="00991157"/>
    <w:rsid w:val="009A2AA5"/>
    <w:rsid w:val="009C0E27"/>
    <w:rsid w:val="009E51AD"/>
    <w:rsid w:val="00A31981"/>
    <w:rsid w:val="00A54C5D"/>
    <w:rsid w:val="00A61F80"/>
    <w:rsid w:val="00A70339"/>
    <w:rsid w:val="00AA5342"/>
    <w:rsid w:val="00B1771E"/>
    <w:rsid w:val="00B808C6"/>
    <w:rsid w:val="00B9637E"/>
    <w:rsid w:val="00BB5BDA"/>
    <w:rsid w:val="00BE5DFE"/>
    <w:rsid w:val="00C07559"/>
    <w:rsid w:val="00C16B79"/>
    <w:rsid w:val="00C44FA6"/>
    <w:rsid w:val="00C96BDA"/>
    <w:rsid w:val="00CA0B42"/>
    <w:rsid w:val="00CA7534"/>
    <w:rsid w:val="00CC039C"/>
    <w:rsid w:val="00CF4EC5"/>
    <w:rsid w:val="00D448F7"/>
    <w:rsid w:val="00D7491E"/>
    <w:rsid w:val="00DA3F08"/>
    <w:rsid w:val="00DB189A"/>
    <w:rsid w:val="00DC4019"/>
    <w:rsid w:val="00DF3C58"/>
    <w:rsid w:val="00DF550F"/>
    <w:rsid w:val="00E477FA"/>
    <w:rsid w:val="00EB27B0"/>
    <w:rsid w:val="00EB6185"/>
    <w:rsid w:val="00EE16AB"/>
    <w:rsid w:val="00EF17F6"/>
    <w:rsid w:val="00EF331E"/>
    <w:rsid w:val="00F07F93"/>
    <w:rsid w:val="00F10643"/>
    <w:rsid w:val="00F16904"/>
    <w:rsid w:val="00F21639"/>
    <w:rsid w:val="00F3536C"/>
    <w:rsid w:val="00F413F9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99"/>
  </w:style>
  <w:style w:type="paragraph" w:styleId="Footer">
    <w:name w:val="footer"/>
    <w:basedOn w:val="Normal"/>
    <w:link w:val="FooterChar"/>
    <w:uiPriority w:val="99"/>
    <w:unhideWhenUsed/>
    <w:rsid w:val="0092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99"/>
  </w:style>
  <w:style w:type="character" w:styleId="Hyperlink">
    <w:name w:val="Hyperlink"/>
    <w:basedOn w:val="DefaultParagraphFont"/>
    <w:uiPriority w:val="99"/>
    <w:unhideWhenUsed/>
    <w:rsid w:val="00C44F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99"/>
  </w:style>
  <w:style w:type="paragraph" w:styleId="Footer">
    <w:name w:val="footer"/>
    <w:basedOn w:val="Normal"/>
    <w:link w:val="FooterChar"/>
    <w:uiPriority w:val="99"/>
    <w:unhideWhenUsed/>
    <w:rsid w:val="0092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99"/>
  </w:style>
  <w:style w:type="character" w:styleId="Hyperlink">
    <w:name w:val="Hyperlink"/>
    <w:basedOn w:val="DefaultParagraphFont"/>
    <w:uiPriority w:val="99"/>
    <w:unhideWhenUsed/>
    <w:rsid w:val="00C44F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.elabdellaoui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John (Morocco)</dc:creator>
  <cp:lastModifiedBy>Berrado, Ibtissame (Morocco)</cp:lastModifiedBy>
  <cp:revision>2</cp:revision>
  <cp:lastPrinted>2015-12-02T13:25:00Z</cp:lastPrinted>
  <dcterms:created xsi:type="dcterms:W3CDTF">2015-12-02T12:05:00Z</dcterms:created>
  <dcterms:modified xsi:type="dcterms:W3CDTF">2015-12-02T12:05:00Z</dcterms:modified>
</cp:coreProperties>
</file>